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2ECD" w:rsidRDefault="002213F3" w:rsidP="00233F4D">
      <w:pPr>
        <w:pStyle w:val="a5"/>
        <w:ind w:left="4820"/>
        <w:jc w:val="both"/>
      </w:pPr>
      <w:r>
        <w:t>Утверждены приказом генерального директора ООО «Редакция журнала «ЗАКОН» № 11/01-2010</w:t>
      </w:r>
      <w:r w:rsidR="00594A88">
        <w:t>дсп</w:t>
      </w:r>
      <w:r>
        <w:t xml:space="preserve"> от 11.01.2010</w:t>
      </w:r>
    </w:p>
    <w:p w:rsidR="002213F3" w:rsidRDefault="002213F3" w:rsidP="00233F4D">
      <w:pPr>
        <w:pStyle w:val="a5"/>
        <w:ind w:left="4820"/>
        <w:jc w:val="both"/>
      </w:pPr>
      <w:r>
        <w:t>В редакции от 08.12.2014</w:t>
      </w:r>
    </w:p>
    <w:p w:rsidR="002213F3" w:rsidRDefault="002213F3" w:rsidP="00233F4D">
      <w:pPr>
        <w:pStyle w:val="a5"/>
        <w:jc w:val="both"/>
      </w:pPr>
    </w:p>
    <w:p w:rsidR="002213F3" w:rsidRPr="002213F3" w:rsidRDefault="002213F3" w:rsidP="00233F4D">
      <w:pPr>
        <w:pStyle w:val="a5"/>
        <w:jc w:val="center"/>
        <w:rPr>
          <w:b/>
        </w:rPr>
      </w:pPr>
      <w:r w:rsidRPr="002213F3">
        <w:rPr>
          <w:b/>
        </w:rPr>
        <w:t>Правила</w:t>
      </w:r>
    </w:p>
    <w:p w:rsidR="002213F3" w:rsidRPr="002213F3" w:rsidRDefault="00233F4D" w:rsidP="00233F4D">
      <w:pPr>
        <w:pStyle w:val="a5"/>
        <w:jc w:val="center"/>
        <w:rPr>
          <w:b/>
        </w:rPr>
      </w:pPr>
      <w:r w:rsidRPr="002213F3">
        <w:rPr>
          <w:b/>
        </w:rPr>
        <w:t xml:space="preserve">рецензирования </w:t>
      </w:r>
      <w:r w:rsidR="002213F3" w:rsidRPr="002213F3">
        <w:rPr>
          <w:b/>
        </w:rPr>
        <w:t>научных статей,</w:t>
      </w:r>
    </w:p>
    <w:p w:rsidR="002213F3" w:rsidRPr="002213F3" w:rsidRDefault="002213F3" w:rsidP="00233F4D">
      <w:pPr>
        <w:pStyle w:val="a5"/>
        <w:jc w:val="center"/>
        <w:rPr>
          <w:b/>
        </w:rPr>
      </w:pPr>
      <w:r w:rsidRPr="002213F3">
        <w:rPr>
          <w:b/>
        </w:rPr>
        <w:t>рассматриваемых в журналы, издаваемые ООО «Редакция журнала «ЗАКОН»</w:t>
      </w:r>
    </w:p>
    <w:p w:rsidR="002213F3" w:rsidRDefault="002213F3" w:rsidP="00233F4D">
      <w:pPr>
        <w:pStyle w:val="a5"/>
        <w:jc w:val="center"/>
      </w:pPr>
    </w:p>
    <w:p w:rsidR="002213F3" w:rsidRDefault="002213F3" w:rsidP="00233F4D">
      <w:pPr>
        <w:pStyle w:val="a5"/>
        <w:jc w:val="both"/>
      </w:pPr>
    </w:p>
    <w:p w:rsidR="002213F3" w:rsidRDefault="002213F3" w:rsidP="00233F4D">
      <w:pPr>
        <w:pStyle w:val="a5"/>
        <w:numPr>
          <w:ilvl w:val="0"/>
          <w:numId w:val="1"/>
        </w:numPr>
        <w:jc w:val="both"/>
      </w:pPr>
      <w:r>
        <w:t>Настоящие Правила определяют единый порядок рассмотрения статей, направляемых в ООО «Редакция журнала «ЗАКОН» на предмет публикации в журналах, издаваемых ООО «Редакция журнала «ЗАКОН» (далее по тексту — «Издательская группа»).</w:t>
      </w:r>
    </w:p>
    <w:p w:rsidR="002213F3" w:rsidRDefault="002213F3" w:rsidP="00233F4D">
      <w:pPr>
        <w:pStyle w:val="a5"/>
        <w:numPr>
          <w:ilvl w:val="1"/>
          <w:numId w:val="1"/>
        </w:numPr>
        <w:jc w:val="both"/>
      </w:pPr>
      <w:r>
        <w:t xml:space="preserve">Правила подлежат применению во всех редакциях журналов Издательской группы. </w:t>
      </w:r>
    </w:p>
    <w:p w:rsidR="003111FA" w:rsidRDefault="003111FA" w:rsidP="00233F4D">
      <w:pPr>
        <w:pStyle w:val="a5"/>
        <w:numPr>
          <w:ilvl w:val="0"/>
          <w:numId w:val="1"/>
        </w:numPr>
        <w:jc w:val="both"/>
      </w:pPr>
      <w:r>
        <w:t>Все статьи, рассматриваемые на предмет публикации в журналах Издательской группы, подлежат обязательному внутреннему и внешнему (слепому) рецензированию.</w:t>
      </w:r>
    </w:p>
    <w:p w:rsidR="003111FA" w:rsidRDefault="003111FA" w:rsidP="00233F4D">
      <w:pPr>
        <w:pStyle w:val="a5"/>
        <w:numPr>
          <w:ilvl w:val="1"/>
          <w:numId w:val="1"/>
        </w:numPr>
        <w:jc w:val="both"/>
      </w:pPr>
      <w:r>
        <w:t>На первом этапе штатный сотрудник либо внештатный специалист, привлекаемый к работе редакции, должны оценить статью на предмет ее соответствия формату издания.</w:t>
      </w:r>
    </w:p>
    <w:p w:rsidR="003111FA" w:rsidRDefault="003111FA" w:rsidP="00233F4D">
      <w:pPr>
        <w:pStyle w:val="a5"/>
        <w:numPr>
          <w:ilvl w:val="2"/>
          <w:numId w:val="1"/>
        </w:numPr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несоответствия статьи формату издания автору</w:t>
      </w:r>
      <w:r w:rsidR="002F1478">
        <w:t xml:space="preserve"> направляется аргументированный ответ с указанием причин отказа в дальнейшем рассмотрении материала и при необходимости с указанием возможностей для устранения недостатков в дальнейшем рассмотрении.</w:t>
      </w:r>
    </w:p>
    <w:p w:rsidR="002F1478" w:rsidRDefault="002F1478" w:rsidP="00233F4D">
      <w:pPr>
        <w:pStyle w:val="a5"/>
        <w:numPr>
          <w:ilvl w:val="1"/>
          <w:numId w:val="1"/>
        </w:numPr>
        <w:jc w:val="both"/>
      </w:pPr>
      <w:r>
        <w:t xml:space="preserve">На втором этапе статьи, прошедшие внутреннее рецензирование и соответствующие формату издания направляются на внешнее слепое рецензирование. </w:t>
      </w:r>
      <w:r w:rsidRPr="002F1478">
        <w:t xml:space="preserve">Внешнее рецензирование осуществляется признанными специалистами по тематике </w:t>
      </w:r>
      <w:r>
        <w:t>соответствующей статьи,</w:t>
      </w:r>
      <w:r w:rsidRPr="002F1478">
        <w:t xml:space="preserve"> имею</w:t>
      </w:r>
      <w:r>
        <w:t>щими</w:t>
      </w:r>
      <w:r w:rsidRPr="002F1478">
        <w:t xml:space="preserve"> в течение последних 3 лет публикации по тематике рецензируемой статьи. </w:t>
      </w:r>
    </w:p>
    <w:p w:rsidR="00DF3F95" w:rsidRDefault="00DF3F95" w:rsidP="00233F4D">
      <w:pPr>
        <w:pStyle w:val="a5"/>
        <w:numPr>
          <w:ilvl w:val="2"/>
          <w:numId w:val="1"/>
        </w:numPr>
        <w:jc w:val="both"/>
      </w:pPr>
      <w:r>
        <w:t>Рецензент, в частности, должен оценить полученный материал по следующим критериям:</w:t>
      </w:r>
    </w:p>
    <w:p w:rsidR="00DF3F95" w:rsidRDefault="00DF3F95" w:rsidP="00233F4D">
      <w:pPr>
        <w:pStyle w:val="a5"/>
        <w:ind w:left="371" w:firstLine="709"/>
        <w:jc w:val="both"/>
      </w:pPr>
      <w:r>
        <w:t xml:space="preserve">— наличие </w:t>
      </w:r>
      <w:r w:rsidRPr="00DF3F95">
        <w:t>научн</w:t>
      </w:r>
      <w:r>
        <w:t>ой</w:t>
      </w:r>
      <w:r w:rsidRPr="00DF3F95">
        <w:t xml:space="preserve"> и информационн</w:t>
      </w:r>
      <w:r>
        <w:t>ой</w:t>
      </w:r>
      <w:r w:rsidRPr="00DF3F95">
        <w:t xml:space="preserve"> новизн</w:t>
      </w:r>
      <w:r>
        <w:t>ы</w:t>
      </w:r>
      <w:r w:rsidRPr="00DF3F95">
        <w:t xml:space="preserve"> (оригинальност</w:t>
      </w:r>
      <w:r>
        <w:t>и</w:t>
      </w:r>
      <w:r w:rsidRPr="00DF3F95">
        <w:t>) материала;</w:t>
      </w:r>
    </w:p>
    <w:p w:rsidR="00DF3F95" w:rsidRPr="00DF3F95" w:rsidRDefault="00DF3F95" w:rsidP="00233F4D">
      <w:pPr>
        <w:pStyle w:val="a5"/>
        <w:ind w:left="371" w:firstLine="709"/>
        <w:jc w:val="both"/>
      </w:pPr>
      <w:r>
        <w:t xml:space="preserve">— </w:t>
      </w:r>
      <w:r w:rsidRPr="00DF3F95">
        <w:t>соотношение рецензируемого материала с имеющейся литературой, опубликованными данными и современными исследованиями по соответствующей проблематике;</w:t>
      </w:r>
    </w:p>
    <w:p w:rsidR="00DF3F95" w:rsidRPr="00DF3F95" w:rsidRDefault="00DF3F95" w:rsidP="00233F4D">
      <w:pPr>
        <w:pStyle w:val="a5"/>
        <w:ind w:left="371" w:firstLine="709"/>
        <w:jc w:val="both"/>
      </w:pPr>
      <w:r w:rsidRPr="00DF3F95">
        <w:t xml:space="preserve">— </w:t>
      </w:r>
      <w:r>
        <w:t xml:space="preserve">наличие/отсутствие </w:t>
      </w:r>
      <w:r w:rsidRPr="00DF3F95">
        <w:t>признак</w:t>
      </w:r>
      <w:r>
        <w:t>ов</w:t>
      </w:r>
      <w:r w:rsidRPr="00DF3F95">
        <w:t xml:space="preserve"> неправомерного заимствования или ины</w:t>
      </w:r>
      <w:r>
        <w:t>х</w:t>
      </w:r>
      <w:r w:rsidRPr="00DF3F95">
        <w:t xml:space="preserve"> форм нарушения автором научной этики при написании материала;</w:t>
      </w:r>
    </w:p>
    <w:p w:rsidR="00DF3F95" w:rsidRPr="00DF3F95" w:rsidRDefault="00DF3F95" w:rsidP="00233F4D">
      <w:pPr>
        <w:pStyle w:val="a5"/>
        <w:ind w:left="371" w:firstLine="709"/>
        <w:jc w:val="both"/>
      </w:pPr>
      <w:r w:rsidRPr="00DF3F95">
        <w:lastRenderedPageBreak/>
        <w:t>—</w:t>
      </w:r>
      <w:r>
        <w:t xml:space="preserve"> </w:t>
      </w:r>
      <w:r w:rsidRPr="00DF3F95">
        <w:t>практическая значимость материала</w:t>
      </w:r>
      <w:r>
        <w:t>;</w:t>
      </w:r>
    </w:p>
    <w:p w:rsidR="00DF3F95" w:rsidRDefault="00DF3F95" w:rsidP="00233F4D">
      <w:pPr>
        <w:pStyle w:val="a5"/>
        <w:ind w:left="371" w:firstLine="709"/>
        <w:jc w:val="both"/>
      </w:pPr>
      <w:r>
        <w:t xml:space="preserve">— соответствие </w:t>
      </w:r>
      <w:r w:rsidRPr="00DF3F95">
        <w:t>сделанны</w:t>
      </w:r>
      <w:r>
        <w:t>х</w:t>
      </w:r>
      <w:r w:rsidRPr="00DF3F95">
        <w:t xml:space="preserve"> вывод</w:t>
      </w:r>
      <w:r>
        <w:t>ов</w:t>
      </w:r>
      <w:r w:rsidRPr="00DF3F95">
        <w:t xml:space="preserve"> и заключени</w:t>
      </w:r>
      <w:r>
        <w:t>й</w:t>
      </w:r>
      <w:r w:rsidRPr="00DF3F95">
        <w:t xml:space="preserve"> полученным данным, соответств</w:t>
      </w:r>
      <w:r>
        <w:t>ие</w:t>
      </w:r>
      <w:r w:rsidRPr="00DF3F95">
        <w:t xml:space="preserve"> материал</w:t>
      </w:r>
      <w:r>
        <w:t>а</w:t>
      </w:r>
      <w:r w:rsidRPr="00DF3F95">
        <w:t xml:space="preserve"> общим и специальным требованиям к структуре публикации, языку и стилю изложения, используемой терминологии, наглядности таблиц, диаграмм, рисунков и формул, правильности оформления сносок,</w:t>
      </w:r>
      <w:r>
        <w:t xml:space="preserve"> корректности библиографии и пр.</w:t>
      </w:r>
    </w:p>
    <w:p w:rsidR="00BE1C2B" w:rsidRDefault="00BE1C2B" w:rsidP="00233F4D">
      <w:pPr>
        <w:pStyle w:val="a5"/>
        <w:numPr>
          <w:ilvl w:val="2"/>
          <w:numId w:val="1"/>
        </w:numPr>
        <w:jc w:val="both"/>
      </w:pPr>
      <w:r>
        <w:t>Рецензирование осуществляется на конфиденциальной основе. Слепое рецензирование предполагает, что рецензенту не раскрываются персональные данные об авторе. Авторам не раскрываются сведения о рецензенте.</w:t>
      </w:r>
    </w:p>
    <w:p w:rsidR="00BE1C2B" w:rsidRDefault="00BE1C2B" w:rsidP="00233F4D">
      <w:pPr>
        <w:pStyle w:val="a5"/>
        <w:numPr>
          <w:ilvl w:val="1"/>
          <w:numId w:val="1"/>
        </w:numPr>
        <w:jc w:val="both"/>
      </w:pPr>
      <w:r>
        <w:t>Сотрудники Издательской группы, ответственные за направление статей на рецензирование, обязаны соблюдать ограничения, связанные с недопущением конфликта интересов при направлении на рассмотрение и принятии решения по материалам, находящимся на рассмотрении. Нарушение данного пункта является грубым нарушением внутренней этики Издательской группы и может являться основанием для применения мер дисциплинарной ответственности к работнику вплоть до увольнения.</w:t>
      </w:r>
    </w:p>
    <w:p w:rsidR="00BE1C2B" w:rsidRDefault="00BE1C2B" w:rsidP="00233F4D">
      <w:pPr>
        <w:pStyle w:val="a5"/>
        <w:numPr>
          <w:ilvl w:val="1"/>
          <w:numId w:val="1"/>
        </w:numPr>
        <w:jc w:val="both"/>
      </w:pPr>
      <w:r w:rsidRPr="002F1478">
        <w:t>Авторам, результат рецензирования статей которых явился основанием для отказа в опубликовании, редакция обязана направить мотивированный отказ.</w:t>
      </w:r>
    </w:p>
    <w:p w:rsidR="00BE1C2B" w:rsidRDefault="00DF3F95" w:rsidP="00233F4D">
      <w:pPr>
        <w:pStyle w:val="a5"/>
        <w:numPr>
          <w:ilvl w:val="1"/>
          <w:numId w:val="1"/>
        </w:numPr>
        <w:jc w:val="both"/>
      </w:pPr>
      <w:r w:rsidRPr="00DF3F95">
        <w:t xml:space="preserve">Все статьи, поступающие на рассмотрение, проходят проверку на плагиат. </w:t>
      </w:r>
      <w:r>
        <w:t>Материалы</w:t>
      </w:r>
      <w:r w:rsidRPr="00DF3F95">
        <w:t>, не выдержавши</w:t>
      </w:r>
      <w:r>
        <w:t>е</w:t>
      </w:r>
      <w:r w:rsidRPr="00DF3F95">
        <w:t xml:space="preserve"> проверку, </w:t>
      </w:r>
      <w:r w:rsidR="00BE1C2B">
        <w:t>снимаются с дальнейшего рассмотрения с обоснованием автору причин</w:t>
      </w:r>
      <w:r w:rsidRPr="00DF3F95">
        <w:t>.</w:t>
      </w:r>
    </w:p>
    <w:p w:rsidR="00BE1C2B" w:rsidRPr="002F1478" w:rsidRDefault="00BE1C2B" w:rsidP="00233F4D">
      <w:pPr>
        <w:pStyle w:val="a5"/>
        <w:numPr>
          <w:ilvl w:val="1"/>
          <w:numId w:val="1"/>
        </w:numPr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успешного рассмотрения при наличии положительной рецензии статья вместе с рецензией направляется главному редактору для принятия решения об утверждении в конкретный выпуск научного рецензируемого издания.</w:t>
      </w:r>
    </w:p>
    <w:p w:rsidR="002F1478" w:rsidRDefault="002F1478" w:rsidP="00233F4D">
      <w:pPr>
        <w:pStyle w:val="a5"/>
        <w:numPr>
          <w:ilvl w:val="1"/>
          <w:numId w:val="1"/>
        </w:numPr>
        <w:jc w:val="both"/>
      </w:pPr>
      <w:r>
        <w:t xml:space="preserve">Редакции должны обеспечить хранение всех полученных рецензий </w:t>
      </w:r>
      <w:r w:rsidRPr="002F1478">
        <w:t>в течение 5 лет</w:t>
      </w:r>
      <w:r>
        <w:t xml:space="preserve"> и предоставление рецензий по первому требованию в государственные органы, осуществляющие контроль в сфере образования и науки</w:t>
      </w:r>
      <w:r w:rsidRPr="002F1478">
        <w:t>.</w:t>
      </w:r>
    </w:p>
    <w:p w:rsidR="002F1478" w:rsidRDefault="002F1478" w:rsidP="00233F4D">
      <w:pPr>
        <w:pStyle w:val="a5"/>
        <w:numPr>
          <w:ilvl w:val="0"/>
          <w:numId w:val="1"/>
        </w:numPr>
        <w:jc w:val="both"/>
      </w:pPr>
      <w:r>
        <w:t>Общ</w:t>
      </w:r>
      <w:r w:rsidR="00233F4D">
        <w:t>ий</w:t>
      </w:r>
      <w:r>
        <w:t xml:space="preserve"> </w:t>
      </w:r>
      <w:r w:rsidR="00233F4D">
        <w:t>срок</w:t>
      </w:r>
      <w:r>
        <w:t xml:space="preserve"> рассмотрения статей не долж</w:t>
      </w:r>
      <w:r w:rsidR="00233F4D">
        <w:t>ен</w:t>
      </w:r>
      <w:r>
        <w:t xml:space="preserve"> превышать 3 (трех) месяцев с момента </w:t>
      </w:r>
      <w:r w:rsidR="00233F4D">
        <w:t>получения</w:t>
      </w:r>
      <w:r>
        <w:t xml:space="preserve"> статьи в редакцию. В исключительных </w:t>
      </w:r>
      <w:proofErr w:type="gramStart"/>
      <w:r>
        <w:t>случаях</w:t>
      </w:r>
      <w:proofErr w:type="gramEnd"/>
      <w:r>
        <w:t xml:space="preserve"> данный срок может быть увеличен по решению главного редактора.</w:t>
      </w:r>
    </w:p>
    <w:p w:rsidR="002F1478" w:rsidRDefault="002F1478" w:rsidP="00233F4D">
      <w:pPr>
        <w:pStyle w:val="a5"/>
        <w:numPr>
          <w:ilvl w:val="1"/>
          <w:numId w:val="1"/>
        </w:numPr>
        <w:jc w:val="both"/>
      </w:pPr>
      <w:r>
        <w:t>О сроках рассмотрения статей, их продлении редакция обязана уведомить автора.</w:t>
      </w:r>
    </w:p>
    <w:p w:rsidR="00DF3F95" w:rsidRDefault="00DF3F95" w:rsidP="00233F4D">
      <w:pPr>
        <w:pStyle w:val="a5"/>
        <w:numPr>
          <w:ilvl w:val="0"/>
          <w:numId w:val="1"/>
        </w:numPr>
        <w:jc w:val="both"/>
      </w:pPr>
      <w:r>
        <w:t xml:space="preserve">Требования к оформлению </w:t>
      </w:r>
      <w:r w:rsidR="00233F4D">
        <w:t xml:space="preserve">и формату </w:t>
      </w:r>
      <w:r>
        <w:t xml:space="preserve">статей, </w:t>
      </w:r>
      <w:r w:rsidR="00233F4D">
        <w:t xml:space="preserve">правила их рассмотрения, </w:t>
      </w:r>
      <w:r>
        <w:t>а также поряд</w:t>
      </w:r>
      <w:r w:rsidR="00233F4D">
        <w:t>ок</w:t>
      </w:r>
      <w:r>
        <w:t xml:space="preserve"> их направления в </w:t>
      </w:r>
      <w:r w:rsidR="00233F4D">
        <w:t>редакции</w:t>
      </w:r>
      <w:r>
        <w:t xml:space="preserve"> размещаются на сайте </w:t>
      </w:r>
      <w:r w:rsidR="00233F4D">
        <w:t>Издательской группы</w:t>
      </w:r>
      <w:r>
        <w:t>.</w:t>
      </w:r>
    </w:p>
    <w:p w:rsidR="003111FA" w:rsidRDefault="003111FA" w:rsidP="00233F4D">
      <w:pPr>
        <w:pStyle w:val="a5"/>
        <w:numPr>
          <w:ilvl w:val="0"/>
          <w:numId w:val="1"/>
        </w:numPr>
        <w:jc w:val="both"/>
      </w:pPr>
      <w:r>
        <w:t>Статьи, поступающие н</w:t>
      </w:r>
      <w:bookmarkStart w:id="0" w:name="_GoBack"/>
      <w:bookmarkEnd w:id="0"/>
      <w:r>
        <w:t>а общую почту</w:t>
      </w:r>
      <w:r w:rsidR="00233F4D">
        <w:t xml:space="preserve"> Издательской группы</w:t>
      </w:r>
      <w:r>
        <w:t xml:space="preserve"> </w:t>
      </w:r>
      <w:hyperlink r:id="rId9" w:history="1">
        <w:r w:rsidRPr="007C4603">
          <w:rPr>
            <w:rStyle w:val="a3"/>
            <w:lang w:val="en-US"/>
          </w:rPr>
          <w:t>post</w:t>
        </w:r>
        <w:r w:rsidRPr="007C4603">
          <w:rPr>
            <w:rStyle w:val="a3"/>
          </w:rPr>
          <w:t>@</w:t>
        </w:r>
        <w:proofErr w:type="spellStart"/>
        <w:r w:rsidRPr="007C4603">
          <w:rPr>
            <w:rStyle w:val="a3"/>
            <w:lang w:val="en-US"/>
          </w:rPr>
          <w:t>igzakon</w:t>
        </w:r>
        <w:proofErr w:type="spellEnd"/>
        <w:r w:rsidRPr="007C4603">
          <w:rPr>
            <w:rStyle w:val="a3"/>
          </w:rPr>
          <w:t>.</w:t>
        </w:r>
        <w:proofErr w:type="spellStart"/>
        <w:r w:rsidRPr="007C4603">
          <w:rPr>
            <w:rStyle w:val="a3"/>
            <w:lang w:val="en-US"/>
          </w:rPr>
          <w:t>ru</w:t>
        </w:r>
        <w:proofErr w:type="spellEnd"/>
      </w:hyperlink>
      <w:r w:rsidR="00233F4D">
        <w:t>,</w:t>
      </w:r>
      <w:r>
        <w:t xml:space="preserve"> по умолчанию рассматриваются в журнал «ЗАКОН».</w:t>
      </w:r>
    </w:p>
    <w:p w:rsidR="00233F4D" w:rsidRDefault="00233F4D" w:rsidP="00233F4D">
      <w:pPr>
        <w:pStyle w:val="a5"/>
        <w:ind w:left="360"/>
        <w:jc w:val="both"/>
      </w:pPr>
    </w:p>
    <w:p w:rsidR="00233F4D" w:rsidRDefault="00233F4D" w:rsidP="00233F4D">
      <w:pPr>
        <w:pStyle w:val="a5"/>
        <w:ind w:left="360"/>
        <w:jc w:val="both"/>
      </w:pPr>
      <w:r>
        <w:t>Генеральный директор</w:t>
      </w:r>
    </w:p>
    <w:p w:rsidR="00233F4D" w:rsidRPr="003111FA" w:rsidRDefault="00233F4D" w:rsidP="00233F4D">
      <w:pPr>
        <w:pStyle w:val="a5"/>
        <w:ind w:left="360"/>
        <w:jc w:val="both"/>
      </w:pPr>
      <w:r>
        <w:t>ООО «Редакция журнала «ЗАКОН»</w:t>
      </w:r>
      <w:r>
        <w:tab/>
      </w:r>
      <w:r>
        <w:tab/>
      </w:r>
      <w:r w:rsidRPr="00233F4D">
        <w:rPr>
          <w:u w:val="single"/>
        </w:rPr>
        <w:tab/>
      </w:r>
      <w:r w:rsidRPr="00233F4D">
        <w:rPr>
          <w:u w:val="single"/>
        </w:rPr>
        <w:tab/>
      </w:r>
      <w:r w:rsidRPr="00233F4D">
        <w:rPr>
          <w:u w:val="single"/>
        </w:rPr>
        <w:tab/>
      </w:r>
      <w:r>
        <w:t>А.В. Белоусов</w:t>
      </w:r>
    </w:p>
    <w:sectPr w:rsidR="00233F4D" w:rsidRPr="003111FA" w:rsidSect="00233F4D">
      <w:headerReference w:type="default" r:id="rId10"/>
      <w:pgSz w:w="11906" w:h="16838"/>
      <w:pgMar w:top="2410" w:right="1417" w:bottom="1134" w:left="1417" w:header="5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98" w:rsidRDefault="008E5498">
      <w:r>
        <w:separator/>
      </w:r>
    </w:p>
  </w:endnote>
  <w:endnote w:type="continuationSeparator" w:id="0">
    <w:p w:rsidR="008E5498" w:rsidRDefault="008E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98" w:rsidRDefault="008E5498">
      <w:r>
        <w:separator/>
      </w:r>
    </w:p>
  </w:footnote>
  <w:footnote w:type="continuationSeparator" w:id="0">
    <w:p w:rsidR="008E5498" w:rsidRDefault="008E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CD" w:rsidRDefault="000D6342">
    <w:pPr>
      <w:pStyle w:val="a9"/>
      <w:ind w:left="3110"/>
      <w:rPr>
        <w:rFonts w:ascii="Arial" w:hAnsi="Arial"/>
        <w:w w:val="108"/>
        <w:sz w:val="26"/>
        <w:szCs w:val="26"/>
      </w:rPr>
    </w:pPr>
    <w:r>
      <w:rPr>
        <w:noProof/>
        <w:lang w:eastAsia="ru-RU" w:bidi="ar-SA"/>
      </w:rPr>
      <w:drawing>
        <wp:anchor distT="0" distB="0" distL="114300" distR="114300" simplePos="0" relativeHeight="251658240" behindDoc="0" locked="0" layoutInCell="1" allowOverlap="1" wp14:anchorId="215AD322" wp14:editId="34627A40">
          <wp:simplePos x="0" y="0"/>
          <wp:positionH relativeFrom="column">
            <wp:posOffset>572135</wp:posOffset>
          </wp:positionH>
          <wp:positionV relativeFrom="paragraph">
            <wp:posOffset>6985</wp:posOffset>
          </wp:positionV>
          <wp:extent cx="923925" cy="831215"/>
          <wp:effectExtent l="19050" t="0" r="9525" b="0"/>
          <wp:wrapNone/>
          <wp:docPr id="3" name="Рисунок 3" descr="\\Wl700ge\upload\витек\izdat zako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Wl700ge\upload\витек\izdat zakon-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w w:val="108"/>
        <w:sz w:val="26"/>
        <w:szCs w:val="26"/>
      </w:rPr>
      <w:t>ИЗДАТЕЛЬСКАЯ ГРУППА «ЗАКОН»</w:t>
    </w:r>
  </w:p>
  <w:p w:rsidR="007E2ECD" w:rsidRDefault="000D6342">
    <w:pPr>
      <w:pStyle w:val="a9"/>
      <w:spacing w:before="312" w:after="142"/>
      <w:ind w:left="3110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spacing w:val="20"/>
        <w:sz w:val="18"/>
        <w:szCs w:val="18"/>
      </w:rPr>
      <w:t>ООО «РЕДАКЦИЯ ЖУРНАЛА «ЗАКОН»</w:t>
    </w:r>
  </w:p>
  <w:p w:rsidR="007E2ECD" w:rsidRPr="002213F3" w:rsidRDefault="000D6342">
    <w:pPr>
      <w:pStyle w:val="a9"/>
      <w:tabs>
        <w:tab w:val="clear" w:pos="4536"/>
        <w:tab w:val="clear" w:pos="9072"/>
        <w:tab w:val="left" w:pos="3670"/>
        <w:tab w:val="left" w:pos="4230"/>
        <w:tab w:val="left" w:pos="4790"/>
        <w:tab w:val="left" w:pos="5350"/>
        <w:tab w:val="left" w:pos="5910"/>
        <w:tab w:val="left" w:pos="6470"/>
        <w:tab w:val="left" w:pos="7030"/>
        <w:tab w:val="left" w:pos="7590"/>
        <w:tab w:val="left" w:pos="8150"/>
        <w:tab w:val="left" w:pos="8710"/>
        <w:tab w:val="left" w:pos="9270"/>
        <w:tab w:val="left" w:pos="9830"/>
      </w:tabs>
      <w:autoSpaceDE w:val="0"/>
      <w:ind w:left="3110"/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</w:pPr>
    <w:r>
      <w:rPr>
        <w:rFonts w:ascii="Arial" w:eastAsia="TimesNewRomanPSMT" w:hAnsi="Arial" w:cs="TimesNewRomanPSMT"/>
        <w:spacing w:val="6"/>
        <w:w w:val="104"/>
        <w:kern w:val="0"/>
        <w:sz w:val="16"/>
        <w:szCs w:val="16"/>
      </w:rPr>
      <w:t xml:space="preserve">129226, г. Москва, ул. Вильгельма Пика, д. 3, стр. 2 </w:t>
    </w:r>
    <w:r>
      <w:rPr>
        <w:rFonts w:ascii="Arial" w:eastAsia="TimesNewRomanPSMT" w:hAnsi="Arial" w:cs="TimesNewRomanPSMT"/>
        <w:spacing w:val="6"/>
        <w:w w:val="104"/>
        <w:kern w:val="0"/>
        <w:sz w:val="16"/>
        <w:szCs w:val="16"/>
      </w:rPr>
      <w:br/>
      <w:t xml:space="preserve">тел. </w:t>
    </w:r>
    <w:r w:rsidRPr="002213F3">
      <w:rPr>
        <w:rFonts w:ascii="Arial" w:eastAsia="TimesNewRomanPSMT" w:hAnsi="Arial" w:cs="TimesNewRomanPSMT"/>
        <w:spacing w:val="6"/>
        <w:w w:val="104"/>
        <w:kern w:val="0"/>
        <w:sz w:val="16"/>
        <w:szCs w:val="16"/>
        <w:lang w:val="en-US"/>
      </w:rPr>
      <w:t xml:space="preserve">(495) </w:t>
    </w:r>
    <w:r w:rsidR="00233F4D" w:rsidRPr="00233F4D">
      <w:rPr>
        <w:rFonts w:ascii="Arial" w:eastAsia="TimesNewRomanPSMT" w:hAnsi="Arial" w:cs="TimesNewRomanPSMT"/>
        <w:spacing w:val="6"/>
        <w:w w:val="104"/>
        <w:kern w:val="0"/>
        <w:sz w:val="16"/>
        <w:szCs w:val="16"/>
        <w:lang w:val="en-US"/>
      </w:rPr>
      <w:t>627-01-62</w:t>
    </w:r>
    <w:r w:rsidRPr="002213F3">
      <w:rPr>
        <w:rFonts w:ascii="Arial" w:eastAsia="TimesNewRomanPSMT" w:hAnsi="Arial" w:cs="TimesNewRomanPSMT"/>
        <w:spacing w:val="6"/>
        <w:w w:val="104"/>
        <w:kern w:val="0"/>
        <w:sz w:val="16"/>
        <w:szCs w:val="16"/>
        <w:lang w:val="en-US"/>
      </w:rPr>
      <w:t xml:space="preserve">; </w:t>
    </w:r>
    <w:r w:rsidRPr="000D6342">
      <w:rPr>
        <w:rFonts w:ascii="Arial" w:eastAsia="TimesNewRomanPSMT" w:hAnsi="Arial" w:cs="TimesNewRomanPSMT"/>
        <w:spacing w:val="6"/>
        <w:w w:val="104"/>
        <w:kern w:val="0"/>
        <w:sz w:val="16"/>
        <w:szCs w:val="16"/>
        <w:lang w:val="en-US"/>
      </w:rPr>
      <w:t>e</w:t>
    </w:r>
    <w:r w:rsidRPr="002213F3">
      <w:rPr>
        <w:rFonts w:ascii="Arial" w:eastAsia="TimesNewRomanPSMT" w:hAnsi="Arial" w:cs="TimesNewRomanPSMT"/>
        <w:spacing w:val="6"/>
        <w:w w:val="104"/>
        <w:kern w:val="0"/>
        <w:sz w:val="16"/>
        <w:szCs w:val="16"/>
        <w:lang w:val="en-US"/>
      </w:rPr>
      <w:t>-</w:t>
    </w:r>
    <w:r w:rsidRPr="000D6342">
      <w:rPr>
        <w:rFonts w:ascii="Arial" w:eastAsia="TimesNewRomanPSMT" w:hAnsi="Arial" w:cs="TimesNewRomanPSMT"/>
        <w:spacing w:val="6"/>
        <w:w w:val="104"/>
        <w:kern w:val="0"/>
        <w:sz w:val="16"/>
        <w:szCs w:val="16"/>
        <w:lang w:val="en-US"/>
      </w:rPr>
      <w:t>mail</w:t>
    </w:r>
    <w:r w:rsidRPr="002213F3">
      <w:rPr>
        <w:rFonts w:ascii="Arial" w:eastAsia="TimesNewRomanPSMT" w:hAnsi="Arial" w:cs="TimesNewRomanPSMT"/>
        <w:spacing w:val="6"/>
        <w:w w:val="104"/>
        <w:kern w:val="0"/>
        <w:sz w:val="16"/>
        <w:szCs w:val="16"/>
        <w:lang w:val="en-US"/>
      </w:rPr>
      <w:t xml:space="preserve">: </w:t>
    </w:r>
    <w:r w:rsidRPr="000D6342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post</w:t>
    </w:r>
    <w:r w:rsidRPr="002213F3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@</w:t>
    </w:r>
    <w:r w:rsidR="00233F4D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ig</w:t>
    </w:r>
    <w:r w:rsidRPr="000D6342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zakon</w:t>
    </w:r>
    <w:r w:rsidRPr="002213F3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.</w:t>
    </w:r>
    <w:r w:rsidRPr="000D6342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ru</w:t>
    </w:r>
    <w:r w:rsidRPr="002213F3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 xml:space="preserve">; </w:t>
    </w:r>
    <w:r w:rsidRPr="000D6342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www</w:t>
    </w:r>
    <w:r w:rsidRPr="002213F3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.</w:t>
    </w:r>
    <w:r w:rsidR="00233F4D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ig</w:t>
    </w:r>
    <w:r w:rsidRPr="000D6342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zakon</w:t>
    </w:r>
    <w:r w:rsidRPr="002213F3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.</w:t>
    </w:r>
    <w:r w:rsidRPr="000D6342">
      <w:rPr>
        <w:rFonts w:ascii="Arial" w:eastAsia="TimesNewRomanPSMT" w:hAnsi="Arial" w:cs="TimesNewRomanPSMT"/>
        <w:color w:val="000000"/>
        <w:spacing w:val="6"/>
        <w:w w:val="104"/>
        <w:kern w:val="0"/>
        <w:sz w:val="16"/>
        <w:szCs w:val="16"/>
        <w:lang w:val="en-US"/>
      </w:rPr>
      <w:t>ru</w:t>
    </w:r>
  </w:p>
  <w:p w:rsidR="007E2ECD" w:rsidRPr="002213F3" w:rsidRDefault="007E2ECD">
    <w:pPr>
      <w:pStyle w:val="aa"/>
      <w:rPr>
        <w:rFonts w:ascii="Arial" w:eastAsia="TimesNewRomanPSMT" w:hAnsi="Arial" w:cs="TimesNewRomanPSMT"/>
        <w:color w:val="000000"/>
        <w:kern w:val="0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54DA"/>
    <w:multiLevelType w:val="multilevel"/>
    <w:tmpl w:val="CF86F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42"/>
    <w:rsid w:val="000D6342"/>
    <w:rsid w:val="002213F3"/>
    <w:rsid w:val="00233F4D"/>
    <w:rsid w:val="002F1478"/>
    <w:rsid w:val="003111FA"/>
    <w:rsid w:val="00480F79"/>
    <w:rsid w:val="00594A88"/>
    <w:rsid w:val="005B28D7"/>
    <w:rsid w:val="007E2ECD"/>
    <w:rsid w:val="008E5498"/>
    <w:rsid w:val="00B13E1A"/>
    <w:rsid w:val="00BE1C2B"/>
    <w:rsid w:val="00C81402"/>
    <w:rsid w:val="00CF3164"/>
    <w:rsid w:val="00D478EA"/>
    <w:rsid w:val="00DF3F95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C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C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E2EC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E2ECD"/>
    <w:pPr>
      <w:spacing w:after="120"/>
    </w:pPr>
  </w:style>
  <w:style w:type="paragraph" w:styleId="a6">
    <w:name w:val="Title"/>
    <w:basedOn w:val="a4"/>
    <w:next w:val="a7"/>
    <w:qFormat/>
    <w:rsid w:val="007E2ECD"/>
  </w:style>
  <w:style w:type="paragraph" w:styleId="a7">
    <w:name w:val="Subtitle"/>
    <w:basedOn w:val="a4"/>
    <w:next w:val="a5"/>
    <w:qFormat/>
    <w:rsid w:val="007E2ECD"/>
    <w:pPr>
      <w:jc w:val="center"/>
    </w:pPr>
    <w:rPr>
      <w:i/>
      <w:iCs/>
    </w:rPr>
  </w:style>
  <w:style w:type="paragraph" w:styleId="a8">
    <w:name w:val="List"/>
    <w:basedOn w:val="a5"/>
    <w:rsid w:val="007E2ECD"/>
  </w:style>
  <w:style w:type="paragraph" w:customStyle="1" w:styleId="1">
    <w:name w:val="Название1"/>
    <w:basedOn w:val="a"/>
    <w:rsid w:val="007E2EC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E2ECD"/>
    <w:pPr>
      <w:suppressLineNumbers/>
    </w:pPr>
  </w:style>
  <w:style w:type="paragraph" w:styleId="a9">
    <w:name w:val="header"/>
    <w:basedOn w:val="a"/>
    <w:rsid w:val="007E2ECD"/>
    <w:pPr>
      <w:suppressLineNumbers/>
      <w:tabs>
        <w:tab w:val="center" w:pos="4536"/>
        <w:tab w:val="right" w:pos="9072"/>
      </w:tabs>
    </w:pPr>
  </w:style>
  <w:style w:type="paragraph" w:customStyle="1" w:styleId="aa">
    <w:name w:val="Горизонтальная линия"/>
    <w:basedOn w:val="a"/>
    <w:next w:val="a5"/>
    <w:rsid w:val="007E2EC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b">
    <w:name w:val="footer"/>
    <w:basedOn w:val="a"/>
    <w:link w:val="ac"/>
    <w:uiPriority w:val="99"/>
    <w:unhideWhenUsed/>
    <w:rsid w:val="00B13E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B13E1A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C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C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E2EC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E2ECD"/>
    <w:pPr>
      <w:spacing w:after="120"/>
    </w:pPr>
  </w:style>
  <w:style w:type="paragraph" w:styleId="a6">
    <w:name w:val="Title"/>
    <w:basedOn w:val="a4"/>
    <w:next w:val="a7"/>
    <w:qFormat/>
    <w:rsid w:val="007E2ECD"/>
  </w:style>
  <w:style w:type="paragraph" w:styleId="a7">
    <w:name w:val="Subtitle"/>
    <w:basedOn w:val="a4"/>
    <w:next w:val="a5"/>
    <w:qFormat/>
    <w:rsid w:val="007E2ECD"/>
    <w:pPr>
      <w:jc w:val="center"/>
    </w:pPr>
    <w:rPr>
      <w:i/>
      <w:iCs/>
    </w:rPr>
  </w:style>
  <w:style w:type="paragraph" w:styleId="a8">
    <w:name w:val="List"/>
    <w:basedOn w:val="a5"/>
    <w:rsid w:val="007E2ECD"/>
  </w:style>
  <w:style w:type="paragraph" w:customStyle="1" w:styleId="1">
    <w:name w:val="Название1"/>
    <w:basedOn w:val="a"/>
    <w:rsid w:val="007E2EC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E2ECD"/>
    <w:pPr>
      <w:suppressLineNumbers/>
    </w:pPr>
  </w:style>
  <w:style w:type="paragraph" w:styleId="a9">
    <w:name w:val="header"/>
    <w:basedOn w:val="a"/>
    <w:rsid w:val="007E2ECD"/>
    <w:pPr>
      <w:suppressLineNumbers/>
      <w:tabs>
        <w:tab w:val="center" w:pos="4536"/>
        <w:tab w:val="right" w:pos="9072"/>
      </w:tabs>
    </w:pPr>
  </w:style>
  <w:style w:type="paragraph" w:customStyle="1" w:styleId="aa">
    <w:name w:val="Горизонтальная линия"/>
    <w:basedOn w:val="a"/>
    <w:next w:val="a5"/>
    <w:rsid w:val="007E2EC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b">
    <w:name w:val="footer"/>
    <w:basedOn w:val="a"/>
    <w:link w:val="ac"/>
    <w:uiPriority w:val="99"/>
    <w:unhideWhenUsed/>
    <w:rsid w:val="00B13E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B13E1A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@igzak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5193-2EC4-4726-B43F-23756B0D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zakon1</dc:creator>
  <cp:lastModifiedBy>Владимир Румак</cp:lastModifiedBy>
  <cp:revision>4</cp:revision>
  <cp:lastPrinted>2010-05-28T07:36:00Z</cp:lastPrinted>
  <dcterms:created xsi:type="dcterms:W3CDTF">2015-11-12T20:49:00Z</dcterms:created>
  <dcterms:modified xsi:type="dcterms:W3CDTF">2015-11-16T11:18:00Z</dcterms:modified>
</cp:coreProperties>
</file>